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EE1" w:rsidRPr="00A1220E" w:rsidRDefault="009A6EE1" w:rsidP="00A1220E">
      <w:pPr>
        <w:pStyle w:val="NormalWeb"/>
        <w:shd w:val="clear" w:color="auto" w:fill="FFFFFF"/>
        <w:spacing w:before="20" w:beforeAutospacing="0" w:after="20" w:afterAutospacing="0"/>
        <w:jc w:val="both"/>
        <w:rPr>
          <w:rFonts w:ascii="Arial" w:hAnsi="Arial" w:cs="Arial"/>
          <w:bCs/>
          <w:sz w:val="20"/>
          <w:szCs w:val="20"/>
          <w:lang w:val="vi-VN"/>
        </w:rPr>
      </w:pPr>
      <w:r w:rsidRPr="00A1220E">
        <w:rPr>
          <w:rFonts w:ascii="Arial" w:hAnsi="Arial" w:cs="Arial"/>
          <w:b/>
          <w:bCs/>
          <w:color w:val="000000"/>
          <w:sz w:val="20"/>
          <w:szCs w:val="20"/>
          <w:lang w:val="vi-VN"/>
        </w:rPr>
        <w:t>1. Tên văn bản quy phạm pháp luật:</w:t>
      </w:r>
      <w:r w:rsidRPr="00A1220E">
        <w:rPr>
          <w:rFonts w:ascii="Arial" w:hAnsi="Arial" w:cs="Arial"/>
          <w:color w:val="000000"/>
          <w:sz w:val="20"/>
          <w:szCs w:val="20"/>
          <w:lang w:val="vi-VN"/>
        </w:rPr>
        <w:t xml:space="preserve"> </w:t>
      </w:r>
      <w:r w:rsidRPr="00A1220E">
        <w:rPr>
          <w:rFonts w:ascii="Arial" w:hAnsi="Arial" w:cs="Arial"/>
          <w:bCs/>
          <w:sz w:val="20"/>
          <w:szCs w:val="20"/>
          <w:lang w:val="vi-VN"/>
        </w:rPr>
        <w:t xml:space="preserve">Nghị định số 114/2024/NĐ-CP ngày 15/9/2024 của Chính phủ </w:t>
      </w:r>
      <w:r w:rsidRPr="00A1220E">
        <w:rPr>
          <w:rFonts w:ascii="Arial" w:hAnsi="Arial" w:cs="Arial"/>
          <w:iCs/>
          <w:sz w:val="20"/>
          <w:szCs w:val="20"/>
          <w:lang w:val="vi-VN"/>
        </w:rPr>
        <w:t>sửa đổi, bổ sung một số điều của Nghị định số 151/2017/NĐ-CP ngày 26/12/2017 của Chính phủ quy định chi tiết một số điều của Luật Quản lý, sử dụng tài sản công</w:t>
      </w:r>
      <w:r w:rsidRPr="00A1220E">
        <w:rPr>
          <w:rFonts w:ascii="Arial" w:hAnsi="Arial" w:cs="Arial"/>
          <w:sz w:val="20"/>
          <w:szCs w:val="20"/>
          <w:lang w:val="vi-VN"/>
        </w:rPr>
        <w:t>.</w:t>
      </w:r>
    </w:p>
    <w:p w:rsidR="009A6EE1" w:rsidRPr="00A1220E" w:rsidRDefault="009A6EE1" w:rsidP="00A1220E">
      <w:pPr>
        <w:pStyle w:val="NormalWeb"/>
        <w:shd w:val="clear" w:color="auto" w:fill="FFFFFF"/>
        <w:spacing w:before="20" w:beforeAutospacing="0" w:after="20" w:afterAutospacing="0"/>
        <w:jc w:val="both"/>
        <w:rPr>
          <w:rFonts w:ascii="Arial" w:hAnsi="Arial" w:cs="Arial"/>
          <w:bCs/>
          <w:sz w:val="20"/>
          <w:szCs w:val="20"/>
          <w:lang w:val="vi-VN"/>
        </w:rPr>
      </w:pPr>
      <w:r w:rsidRPr="00A1220E">
        <w:rPr>
          <w:rFonts w:ascii="Arial" w:hAnsi="Arial" w:cs="Arial"/>
          <w:b/>
          <w:bCs/>
          <w:color w:val="000000"/>
          <w:sz w:val="20"/>
          <w:szCs w:val="20"/>
          <w:lang w:val="vi-VN"/>
        </w:rPr>
        <w:t>2. Hiệu lực thi hành:</w:t>
      </w:r>
      <w:r w:rsidRPr="00A1220E">
        <w:rPr>
          <w:rFonts w:ascii="Arial" w:hAnsi="Arial" w:cs="Arial"/>
          <w:color w:val="000000"/>
          <w:sz w:val="20"/>
          <w:szCs w:val="20"/>
          <w:lang w:val="vi-VN"/>
        </w:rPr>
        <w:t> </w:t>
      </w:r>
      <w:r w:rsidRPr="00A1220E">
        <w:rPr>
          <w:rFonts w:ascii="Arial" w:hAnsi="Arial" w:cs="Arial"/>
          <w:bCs/>
          <w:sz w:val="20"/>
          <w:szCs w:val="20"/>
          <w:lang w:val="vi-VN"/>
        </w:rPr>
        <w:t>Nghị định số 114/2024/NĐ-CP ngày 15/9/2024 của Chính phủ:</w:t>
      </w:r>
    </w:p>
    <w:p w:rsidR="009A6EE1" w:rsidRPr="00A1220E" w:rsidRDefault="009A6EE1" w:rsidP="00A1220E">
      <w:pPr>
        <w:pStyle w:val="NormalWeb"/>
        <w:shd w:val="clear" w:color="auto" w:fill="FFFFFF"/>
        <w:spacing w:before="20" w:beforeAutospacing="0" w:after="20" w:afterAutospacing="0"/>
        <w:jc w:val="both"/>
        <w:rPr>
          <w:rFonts w:ascii="Arial" w:hAnsi="Arial" w:cs="Arial"/>
          <w:color w:val="000000"/>
          <w:sz w:val="20"/>
          <w:szCs w:val="20"/>
          <w:lang w:val="vi-VN"/>
        </w:rPr>
      </w:pPr>
      <w:r w:rsidRPr="00A1220E">
        <w:rPr>
          <w:rFonts w:ascii="Arial" w:hAnsi="Arial" w:cs="Arial"/>
          <w:bCs/>
          <w:sz w:val="20"/>
          <w:szCs w:val="20"/>
          <w:lang w:val="vi-VN"/>
        </w:rPr>
        <w:t xml:space="preserve">(1) </w:t>
      </w:r>
      <w:r w:rsidRPr="00A1220E">
        <w:rPr>
          <w:rFonts w:ascii="Arial" w:hAnsi="Arial" w:cs="Arial"/>
          <w:sz w:val="20"/>
          <w:szCs w:val="20"/>
          <w:lang w:val="vi-VN"/>
        </w:rPr>
        <w:t>Có h</w:t>
      </w:r>
      <w:r w:rsidRPr="00A1220E">
        <w:rPr>
          <w:rFonts w:ascii="Arial" w:hAnsi="Arial" w:cs="Arial"/>
          <w:color w:val="000000"/>
          <w:sz w:val="20"/>
          <w:szCs w:val="20"/>
          <w:lang w:val="vi-VN"/>
        </w:rPr>
        <w:t>iệu lực thi hành kể từ ngày 30/10/2024.</w:t>
      </w:r>
    </w:p>
    <w:p w:rsidR="009A6EE1" w:rsidRPr="00A1220E" w:rsidRDefault="009A6EE1" w:rsidP="00A1220E">
      <w:pPr>
        <w:tabs>
          <w:tab w:val="left" w:pos="851"/>
        </w:tabs>
        <w:spacing w:before="20" w:after="20" w:line="240" w:lineRule="auto"/>
        <w:jc w:val="both"/>
        <w:rPr>
          <w:rFonts w:ascii="Arial" w:eastAsia="Times New Roman" w:hAnsi="Arial" w:cs="Arial"/>
          <w:bCs/>
          <w:sz w:val="20"/>
          <w:szCs w:val="20"/>
          <w:lang w:val="vi-VN"/>
        </w:rPr>
      </w:pPr>
      <w:r w:rsidRPr="00A1220E">
        <w:rPr>
          <w:rFonts w:ascii="Arial" w:eastAsia="Times New Roman" w:hAnsi="Arial" w:cs="Arial"/>
          <w:bCs/>
          <w:sz w:val="20"/>
          <w:szCs w:val="20"/>
          <w:lang w:val="vi-VN"/>
        </w:rPr>
        <w:t>(2) Các Điều 96, 97, 98 và 99 Nghị định số 151/2017/NĐ-CP hết hiệu lực thi hành kể từ ngày 01 tháng 01 năm 2025.</w:t>
      </w:r>
    </w:p>
    <w:p w:rsidR="009A6EE1" w:rsidRPr="00A1220E" w:rsidRDefault="009A6EE1" w:rsidP="00A1220E">
      <w:pPr>
        <w:widowControl w:val="0"/>
        <w:spacing w:before="20" w:after="20" w:line="240" w:lineRule="auto"/>
        <w:ind w:right="-43"/>
        <w:jc w:val="both"/>
        <w:rPr>
          <w:rFonts w:ascii="Arial" w:hAnsi="Arial" w:cs="Arial"/>
          <w:color w:val="000000"/>
          <w:sz w:val="20"/>
          <w:szCs w:val="20"/>
          <w:lang w:val="vi-VN"/>
        </w:rPr>
      </w:pPr>
      <w:r w:rsidRPr="00A1220E">
        <w:rPr>
          <w:rFonts w:ascii="Arial" w:hAnsi="Arial" w:cs="Arial"/>
          <w:sz w:val="20"/>
          <w:szCs w:val="20"/>
          <w:lang w:val="vi-VN"/>
        </w:rPr>
        <w:t xml:space="preserve"> </w:t>
      </w:r>
      <w:r w:rsidRPr="00A1220E">
        <w:rPr>
          <w:rFonts w:ascii="Arial" w:hAnsi="Arial" w:cs="Arial"/>
          <w:b/>
          <w:bCs/>
          <w:color w:val="000000"/>
          <w:sz w:val="20"/>
          <w:szCs w:val="20"/>
          <w:lang w:val="vi-VN"/>
        </w:rPr>
        <w:t>3. Sự cần thiết, mục đích ban hành:</w:t>
      </w:r>
      <w:r w:rsidRPr="00A1220E">
        <w:rPr>
          <w:rFonts w:ascii="Arial" w:hAnsi="Arial" w:cs="Arial"/>
          <w:color w:val="000000"/>
          <w:sz w:val="20"/>
          <w:szCs w:val="20"/>
          <w:lang w:val="vi-VN"/>
        </w:rPr>
        <w:t> </w:t>
      </w:r>
    </w:p>
    <w:p w:rsidR="009A6EE1" w:rsidRPr="00A1220E" w:rsidRDefault="009A6EE1" w:rsidP="00A1220E">
      <w:pPr>
        <w:shd w:val="clear" w:color="auto" w:fill="FFFFFF"/>
        <w:spacing w:before="20" w:after="20" w:line="240" w:lineRule="auto"/>
        <w:jc w:val="both"/>
        <w:rPr>
          <w:rFonts w:ascii="Arial" w:hAnsi="Arial" w:cs="Arial"/>
          <w:bCs/>
          <w:sz w:val="20"/>
          <w:szCs w:val="20"/>
          <w:lang w:val="vi-VN"/>
        </w:rPr>
      </w:pPr>
      <w:r w:rsidRPr="00A1220E">
        <w:rPr>
          <w:rFonts w:ascii="Arial" w:hAnsi="Arial" w:cs="Arial"/>
          <w:bCs/>
          <w:sz w:val="20"/>
          <w:szCs w:val="20"/>
          <w:lang w:val="vi-VN"/>
        </w:rPr>
        <w:t>- Sự cần thiết:</w:t>
      </w:r>
    </w:p>
    <w:p w:rsidR="009A6EE1" w:rsidRPr="00A1220E" w:rsidRDefault="009A6EE1" w:rsidP="00A1220E">
      <w:pPr>
        <w:spacing w:before="20" w:after="20" w:line="240" w:lineRule="auto"/>
        <w:jc w:val="both"/>
        <w:rPr>
          <w:rFonts w:ascii="Arial" w:hAnsi="Arial" w:cs="Arial"/>
          <w:bCs/>
          <w:color w:val="000000"/>
          <w:sz w:val="20"/>
          <w:szCs w:val="20"/>
          <w:lang w:val="vi-VN"/>
        </w:rPr>
      </w:pPr>
      <w:r w:rsidRPr="00A1220E">
        <w:rPr>
          <w:rFonts w:ascii="Arial" w:hAnsi="Arial" w:cs="Arial"/>
          <w:bCs/>
          <w:color w:val="000000"/>
          <w:sz w:val="20"/>
          <w:szCs w:val="20"/>
          <w:lang w:val="vi-VN"/>
        </w:rPr>
        <w:t xml:space="preserve">Nghị định số 151/2017/NĐ-CP được ban hành là cơ sở pháp lý quan trọng trong việc thực hiện quản lý, sử dụng tài sản công tại cơ quan, tổ chức, đơn vị, tài sản công tại doanh nghiệp. Tuy nhiên, qua thực hiện rà soát các quy định tại Nghị định số 151/2017/NĐ-CP và tổng hợp các phản ánh, kiến nghị của một số bộ, ngành, địa phương, cho thấy còn phát sinh một số vướng mắc trong quá trình thực hiện Nghị định như: </w:t>
      </w:r>
    </w:p>
    <w:p w:rsidR="009A6EE1" w:rsidRPr="00A1220E" w:rsidRDefault="009A6EE1" w:rsidP="00A1220E">
      <w:pPr>
        <w:spacing w:before="20" w:after="20" w:line="240" w:lineRule="auto"/>
        <w:jc w:val="both"/>
        <w:rPr>
          <w:rFonts w:ascii="Arial" w:hAnsi="Arial" w:cs="Arial"/>
          <w:bCs/>
          <w:color w:val="000000"/>
          <w:sz w:val="20"/>
          <w:szCs w:val="20"/>
          <w:lang w:val="vi-VN"/>
        </w:rPr>
      </w:pPr>
      <w:r w:rsidRPr="00A1220E">
        <w:rPr>
          <w:rFonts w:ascii="Arial" w:hAnsi="Arial" w:cs="Arial"/>
          <w:bCs/>
          <w:color w:val="000000"/>
          <w:sz w:val="20"/>
          <w:szCs w:val="20"/>
          <w:lang w:val="vi-VN"/>
        </w:rPr>
        <w:t>+ Một số nội dung về quản lý, sử dụng tài sản công tại cơ quan, tổ chức, đơn vị chưa có quy định hướng dẫn cụ thể làm cơ sở cho các cơ quan, tổ chức, đơn vị thực hiện như: Trình tự, thủ tục giao tài sản bằng hiện vật cho cơ quan, tổ chức, đơn vị; thẩm quyền quyết định thuê đơn vị có chức năng quản lý vận hành tài sản công; khai thác tài sản công sau thu hồi;...</w:t>
      </w:r>
    </w:p>
    <w:p w:rsidR="009A6EE1" w:rsidRPr="00A1220E" w:rsidRDefault="009A6EE1" w:rsidP="00A1220E">
      <w:pPr>
        <w:spacing w:before="20" w:after="20" w:line="240" w:lineRule="auto"/>
        <w:jc w:val="both"/>
        <w:rPr>
          <w:rFonts w:ascii="Arial" w:hAnsi="Arial" w:cs="Arial"/>
          <w:bCs/>
          <w:color w:val="000000"/>
          <w:sz w:val="20"/>
          <w:szCs w:val="20"/>
          <w:lang w:val="vi-VN"/>
        </w:rPr>
      </w:pPr>
      <w:r w:rsidRPr="00A1220E">
        <w:rPr>
          <w:rFonts w:ascii="Arial" w:hAnsi="Arial" w:cs="Arial"/>
          <w:bCs/>
          <w:color w:val="000000"/>
          <w:sz w:val="20"/>
          <w:szCs w:val="20"/>
          <w:lang w:val="vi-VN"/>
        </w:rPr>
        <w:t>+ Nghị quyết số 82/2019/QH14 ngày 14/6/2019 của Quốc hội về tiếp tục hoàn thiện, nâng cao hiệu lực, hiệu quả thực hiện chính sách, pháp luật về quy hoạch, quản lý, sử dụng đất đai tại đô thị giao Chính phủ nghiên cứu thu hẹp các trường hợp cho thuê đất thu tiền thuê đất một lần cho cả thời gian thuê, chuyển sang hình thức cho thuê đất thu tiền thuê đất hằng năm, bảo đảm nguồn thu ổn định từ đất đai. Tuy nhiên, quy định hiện hành về bán trụ sở làm việc, cơ sở hoạt động sự nghiệp thì chỉ có hình thức giao đất, cho thuê đất trả tiền thuê đất một lần cho cả thời gian thuê.</w:t>
      </w:r>
    </w:p>
    <w:p w:rsidR="009A6EE1" w:rsidRPr="00A1220E" w:rsidRDefault="009A6EE1" w:rsidP="00A1220E">
      <w:pPr>
        <w:spacing w:before="20" w:after="20" w:line="240" w:lineRule="auto"/>
        <w:jc w:val="both"/>
        <w:rPr>
          <w:rFonts w:ascii="Arial" w:hAnsi="Arial" w:cs="Arial"/>
          <w:bCs/>
          <w:color w:val="000000"/>
          <w:sz w:val="20"/>
          <w:szCs w:val="20"/>
          <w:lang w:val="vi-VN"/>
        </w:rPr>
      </w:pPr>
      <w:r w:rsidRPr="00A1220E">
        <w:rPr>
          <w:rFonts w:ascii="Arial" w:hAnsi="Arial" w:cs="Arial"/>
          <w:bCs/>
          <w:color w:val="000000"/>
          <w:sz w:val="20"/>
          <w:szCs w:val="20"/>
          <w:lang w:val="vi-VN"/>
        </w:rPr>
        <w:t>+ Một số trường hợp áp dụng theo trình tự, thủ tục xử lý tài sản công như quy định hiện hành chưa phù hợp như: xử lý tài sản công trong trường hợp thực hiện sáp nhập, hợp nhất, chia tách, giải thể do quy trình xử lý tài sản công hiện hành được xuất phát từ cơ quan được giao quản lý, sử dụng tài sản đề xuất, lập hồ sơ đề nghị xử lý. Tuy nhiên, trong các trường hợp này, có thể cơ quan được giao quản lý, sử dụng tài sản công không còn tồn tại do đã bị sáp nhập, hợp nhất, giải thể nên không thể áp dụng trình tự, thủ tục xử lý tài sản công thông thường.</w:t>
      </w:r>
    </w:p>
    <w:p w:rsidR="009A6EE1" w:rsidRPr="00A1220E" w:rsidRDefault="009A6EE1" w:rsidP="00A1220E">
      <w:pPr>
        <w:spacing w:before="20" w:after="20" w:line="240" w:lineRule="auto"/>
        <w:jc w:val="both"/>
        <w:rPr>
          <w:rFonts w:ascii="Arial" w:hAnsi="Arial" w:cs="Arial"/>
          <w:bCs/>
          <w:color w:val="000000"/>
          <w:sz w:val="20"/>
          <w:szCs w:val="20"/>
          <w:lang w:val="vi-VN"/>
        </w:rPr>
      </w:pPr>
      <w:r w:rsidRPr="00A1220E">
        <w:rPr>
          <w:rFonts w:ascii="Arial" w:hAnsi="Arial" w:cs="Arial"/>
          <w:bCs/>
          <w:color w:val="000000"/>
          <w:sz w:val="20"/>
          <w:szCs w:val="20"/>
          <w:lang w:val="vi-VN"/>
        </w:rPr>
        <w:t>+ Một số loại tài sản công đặc thù cần phải được xử lý theo quy định riêng tại pháp luật chuyên ngành nhưng chưa có quy định loại trừ hoặc dẫn chiếu làm cho các cơ quan, tổ chức, đơn vị lúng túng trong áp dụng pháp luật như: vũ khí, vật liệu nổ, công cụ hỗ trợ, các sản phẩm mật mã của ngành cơ yếu,...</w:t>
      </w:r>
    </w:p>
    <w:p w:rsidR="009A6EE1" w:rsidRPr="00A1220E" w:rsidRDefault="009A6EE1" w:rsidP="00A1220E">
      <w:pPr>
        <w:spacing w:before="20" w:after="20" w:line="240" w:lineRule="auto"/>
        <w:jc w:val="both"/>
        <w:rPr>
          <w:rFonts w:ascii="Arial" w:hAnsi="Arial" w:cs="Arial"/>
          <w:bCs/>
          <w:color w:val="000000"/>
          <w:sz w:val="20"/>
          <w:szCs w:val="20"/>
          <w:lang w:val="vi-VN"/>
        </w:rPr>
      </w:pPr>
      <w:r w:rsidRPr="00A1220E">
        <w:rPr>
          <w:rFonts w:ascii="Arial" w:hAnsi="Arial" w:cs="Arial"/>
          <w:bCs/>
          <w:color w:val="000000"/>
          <w:sz w:val="20"/>
          <w:szCs w:val="20"/>
          <w:lang w:val="vi-VN"/>
        </w:rPr>
        <w:t>+ Các quy định về sử dụng tài sản công tại đơn vị sự nghiệp công lập vào mục đích kinh doanh, cho thuê, liên doanh, liên kết còn gặp nhiều khó khăn, vướng mắc trong thực tế: Tại điểm 4 Thông báo số 99/TB-VPCP ngày 11/5/2021 của Văn phòng Chính phủ, Thủ tướng Chính phủ đã giao Bộ Tài chính rà soát, báo cáo cấp có thẩm quyền việc xem xét sửa đổi, bổ sung (nếu cần thiết). Thực hiện ý kiến chỉ đạo của Thủ tướng Chính phủ, Bộ Tài chính đã đề nghị các Bộ, ngành, địa phương báo cáo tình hình sử dụng tài sản công tại đơn vị sự nghiệp công lập vào mục đích kinh doanh, cho thuê, liên doanh, liên kết; qua tổng hợp báo cáo của các Bộ, ngành, địa phương, trong thực tế thực hiện còn một số vướng mắc như: Chưa có quy định về việc gia hạn Hợp đồng cho thuê tài sản công; Việc xác định tiền thuê đất khi sử dụng tài sản gắn liền với đất vào mục đích kinh doanh, cho thuê, liên doanh, liên kết còn gặp khó khăn;…</w:t>
      </w:r>
    </w:p>
    <w:p w:rsidR="009A6EE1" w:rsidRPr="00A1220E" w:rsidRDefault="009A6EE1" w:rsidP="00A1220E">
      <w:pPr>
        <w:widowControl w:val="0"/>
        <w:tabs>
          <w:tab w:val="left" w:pos="1080"/>
        </w:tabs>
        <w:spacing w:before="20" w:after="20" w:line="240" w:lineRule="auto"/>
        <w:jc w:val="both"/>
        <w:outlineLvl w:val="0"/>
        <w:rPr>
          <w:rFonts w:ascii="Arial" w:hAnsi="Arial" w:cs="Arial"/>
          <w:bCs/>
          <w:color w:val="000000"/>
          <w:sz w:val="20"/>
          <w:szCs w:val="20"/>
          <w:lang w:val="vi-VN"/>
        </w:rPr>
      </w:pPr>
      <w:r w:rsidRPr="00A1220E">
        <w:rPr>
          <w:rFonts w:ascii="Arial" w:hAnsi="Arial" w:cs="Arial"/>
          <w:bCs/>
          <w:sz w:val="20"/>
          <w:szCs w:val="20"/>
          <w:lang w:val="vi-VN"/>
        </w:rPr>
        <w:t xml:space="preserve">- Mục đích: </w:t>
      </w:r>
      <w:r w:rsidRPr="00A1220E">
        <w:rPr>
          <w:rFonts w:ascii="Arial" w:hAnsi="Arial" w:cs="Arial"/>
          <w:bCs/>
          <w:color w:val="000000"/>
          <w:sz w:val="20"/>
          <w:szCs w:val="20"/>
          <w:lang w:val="vi-VN"/>
        </w:rPr>
        <w:t xml:space="preserve">Hoàn thiện cơ sở pháp lý, bổ sung các quy định về các vấn đề chưa có quy định điều chỉnh, giải quyết các vướng mắc phát sinh trong thực tiễn để tăng cường công tác quản lý, sử dụng tài sản công được tiết kiệm, hiệu quả, công khai, minh bạch. </w:t>
      </w:r>
    </w:p>
    <w:p w:rsidR="009A6EE1" w:rsidRPr="00A1220E" w:rsidRDefault="009A6EE1" w:rsidP="00A1220E">
      <w:pPr>
        <w:pStyle w:val="NormalWeb"/>
        <w:shd w:val="clear" w:color="auto" w:fill="FFFFFF"/>
        <w:spacing w:before="20" w:beforeAutospacing="0" w:after="20" w:afterAutospacing="0"/>
        <w:jc w:val="both"/>
        <w:rPr>
          <w:rFonts w:ascii="Arial" w:hAnsi="Arial" w:cs="Arial"/>
          <w:color w:val="000000"/>
          <w:sz w:val="20"/>
          <w:szCs w:val="20"/>
          <w:lang w:val="vi-VN"/>
        </w:rPr>
      </w:pPr>
      <w:r w:rsidRPr="00A1220E">
        <w:rPr>
          <w:rFonts w:ascii="Arial" w:hAnsi="Arial" w:cs="Arial"/>
          <w:b/>
          <w:bCs/>
          <w:color w:val="000000"/>
          <w:sz w:val="20"/>
          <w:szCs w:val="20"/>
          <w:lang w:val="vi-VN"/>
        </w:rPr>
        <w:t>4. Nội dung chủ yếu: </w:t>
      </w:r>
    </w:p>
    <w:p w:rsidR="009A6EE1" w:rsidRPr="00A1220E" w:rsidRDefault="009A6EE1" w:rsidP="00A1220E">
      <w:pPr>
        <w:widowControl w:val="0"/>
        <w:spacing w:before="20" w:after="20" w:line="240" w:lineRule="auto"/>
        <w:jc w:val="both"/>
        <w:rPr>
          <w:rFonts w:ascii="Arial" w:hAnsi="Arial" w:cs="Arial"/>
          <w:bCs/>
          <w:color w:val="000000"/>
          <w:sz w:val="20"/>
          <w:szCs w:val="20"/>
          <w:lang w:val="vi-VN"/>
        </w:rPr>
      </w:pPr>
      <w:r w:rsidRPr="00A1220E">
        <w:rPr>
          <w:rFonts w:ascii="Arial" w:hAnsi="Arial" w:cs="Arial"/>
          <w:bCs/>
          <w:sz w:val="20"/>
          <w:szCs w:val="20"/>
          <w:lang w:val="vi-VN"/>
        </w:rPr>
        <w:t xml:space="preserve">Nghị định số 114/2024/NĐ-CP </w:t>
      </w:r>
      <w:r w:rsidRPr="00A1220E">
        <w:rPr>
          <w:rFonts w:ascii="Arial" w:hAnsi="Arial" w:cs="Arial"/>
          <w:bCs/>
          <w:color w:val="000000"/>
          <w:sz w:val="20"/>
          <w:szCs w:val="20"/>
          <w:lang w:val="vi-VN"/>
        </w:rPr>
        <w:t>được bố cục gồm 03 Điều, cụ thể:</w:t>
      </w:r>
    </w:p>
    <w:p w:rsidR="009A6EE1" w:rsidRPr="00A1220E" w:rsidRDefault="009A6EE1" w:rsidP="00A1220E">
      <w:pPr>
        <w:widowControl w:val="0"/>
        <w:spacing w:before="20" w:after="20" w:line="240" w:lineRule="auto"/>
        <w:jc w:val="both"/>
        <w:rPr>
          <w:rFonts w:ascii="Arial" w:hAnsi="Arial" w:cs="Arial"/>
          <w:b/>
          <w:bCs/>
          <w:color w:val="000000"/>
          <w:sz w:val="20"/>
          <w:szCs w:val="20"/>
          <w:lang w:val="vi-VN"/>
        </w:rPr>
      </w:pPr>
      <w:r w:rsidRPr="00A1220E">
        <w:rPr>
          <w:rFonts w:ascii="Arial" w:hAnsi="Arial" w:cs="Arial"/>
          <w:b/>
          <w:bCs/>
          <w:color w:val="000000"/>
          <w:sz w:val="20"/>
          <w:szCs w:val="20"/>
          <w:lang w:val="vi-VN"/>
        </w:rPr>
        <w:t>4.1. Phạm vi điều chỉnh:</w:t>
      </w:r>
    </w:p>
    <w:p w:rsidR="009A6EE1" w:rsidRPr="00A1220E" w:rsidRDefault="009A6EE1" w:rsidP="00A1220E">
      <w:pPr>
        <w:spacing w:before="20" w:after="20" w:line="240" w:lineRule="auto"/>
        <w:jc w:val="both"/>
        <w:rPr>
          <w:rFonts w:ascii="Arial" w:hAnsi="Arial" w:cs="Arial"/>
          <w:bCs/>
          <w:color w:val="000000"/>
          <w:sz w:val="20"/>
          <w:szCs w:val="20"/>
          <w:lang w:val="vi-VN"/>
        </w:rPr>
      </w:pPr>
      <w:r w:rsidRPr="00A1220E">
        <w:rPr>
          <w:rFonts w:ascii="Arial" w:hAnsi="Arial" w:cs="Arial"/>
          <w:bCs/>
          <w:color w:val="000000"/>
          <w:sz w:val="20"/>
          <w:szCs w:val="20"/>
          <w:lang w:val="vi-VN"/>
        </w:rPr>
        <w:t>- Nghị định này điều chỉnh đối với: (i) Tài sản công tại cơ quan, tổ chức, đơn vị; (ii) Tài sản của dự án sử dụng vốn nhà nước; (iii) Quản lý, sử dụng tài sản công được Nhà nước giao cho doanh nghiệp quản lý không tính thành phần vốn nhà nước tại doanh nghiệp;  (iv) Khai thác kho số phục vụ quản lý nhà nước; (v) Hệ thống thông tin về tài sản công và Cơ sở dữ liệu quốc gia về tài sản công; (vi) Công cụ tài chính quản lý rủi ro đối với tài sản công.</w:t>
      </w:r>
    </w:p>
    <w:p w:rsidR="009A6EE1" w:rsidRPr="00A1220E" w:rsidRDefault="009A6EE1" w:rsidP="00A1220E">
      <w:pPr>
        <w:widowControl w:val="0"/>
        <w:spacing w:before="20" w:after="20" w:line="240" w:lineRule="auto"/>
        <w:jc w:val="both"/>
        <w:rPr>
          <w:rFonts w:ascii="Arial" w:hAnsi="Arial" w:cs="Arial"/>
          <w:bCs/>
          <w:color w:val="000000"/>
          <w:sz w:val="20"/>
          <w:szCs w:val="20"/>
          <w:lang w:val="vi-VN"/>
        </w:rPr>
      </w:pPr>
      <w:r w:rsidRPr="00A1220E">
        <w:rPr>
          <w:rFonts w:ascii="Arial" w:hAnsi="Arial" w:cs="Arial"/>
          <w:bCs/>
          <w:color w:val="000000"/>
          <w:sz w:val="20"/>
          <w:szCs w:val="20"/>
          <w:lang w:val="vi-VN"/>
        </w:rPr>
        <w:t xml:space="preserve">- Nghị định này không điều chỉnh đối với: (i) Tài sản kết cấu hạ tầng do Nhà nước đầu tư, quản lý; (ii) Tài sản được xác lập quyền sở hữu toàn dân; (iii) Tài sản hình thành thông qua triển khai nhiệm vụ khoa học và công nghệ; (iv) Đất đai, tài nguyên; (v) Việc sử dụng đất quốc phòng an ninh kết hợp với hoạt động lao động sản xuất, xây dựng kinh tế; (vi) Việc sử dụng tài sản công để thanh toán cho nhà đầu tư thực hiện dự án đầu tư xây dựng công trình theo hình thức Hợp đồng BT; (vii) Việc chuyển </w:t>
      </w:r>
      <w:r w:rsidRPr="00A1220E">
        <w:rPr>
          <w:rFonts w:ascii="Arial" w:hAnsi="Arial" w:cs="Arial"/>
          <w:bCs/>
          <w:color w:val="000000"/>
          <w:sz w:val="20"/>
          <w:szCs w:val="20"/>
          <w:lang w:val="vi-VN"/>
        </w:rPr>
        <w:lastRenderedPageBreak/>
        <w:t>giao tài sản công là công trình điện sang Tập đoàn Điện lực Việt Nam; (viii) Việc quản lý, sử dụng và khai thác nhà, đất không sử dụng vào mục đích để ở giao cho tổ chức có chức năng quản lý, kinh doanh nhà địa phương quản lý, khai thác; (ix) Thiết bị y tế mượn.</w:t>
      </w:r>
    </w:p>
    <w:p w:rsidR="009A6EE1" w:rsidRPr="00A1220E" w:rsidRDefault="009A6EE1" w:rsidP="00A1220E">
      <w:pPr>
        <w:widowControl w:val="0"/>
        <w:spacing w:before="20" w:after="20" w:line="240" w:lineRule="auto"/>
        <w:jc w:val="both"/>
        <w:rPr>
          <w:rFonts w:ascii="Arial" w:hAnsi="Arial" w:cs="Arial"/>
          <w:b/>
          <w:bCs/>
          <w:color w:val="000000"/>
          <w:sz w:val="20"/>
          <w:szCs w:val="20"/>
          <w:lang w:val="vi-VN"/>
        </w:rPr>
      </w:pPr>
      <w:r w:rsidRPr="00A1220E">
        <w:rPr>
          <w:rFonts w:ascii="Arial" w:hAnsi="Arial" w:cs="Arial"/>
          <w:b/>
          <w:bCs/>
          <w:color w:val="000000"/>
          <w:sz w:val="20"/>
          <w:szCs w:val="20"/>
          <w:lang w:val="vi-VN"/>
        </w:rPr>
        <w:t>4.2. Các quy định chính:</w:t>
      </w:r>
    </w:p>
    <w:p w:rsidR="009A6EE1" w:rsidRPr="00A1220E" w:rsidRDefault="009A6EE1" w:rsidP="00A1220E">
      <w:pPr>
        <w:widowControl w:val="0"/>
        <w:spacing w:before="20" w:after="20" w:line="240" w:lineRule="auto"/>
        <w:jc w:val="both"/>
        <w:rPr>
          <w:rFonts w:ascii="Arial" w:hAnsi="Arial" w:cs="Arial"/>
          <w:bCs/>
          <w:color w:val="000000"/>
          <w:sz w:val="20"/>
          <w:szCs w:val="20"/>
          <w:lang w:val="vi-VN"/>
        </w:rPr>
      </w:pPr>
      <w:r w:rsidRPr="00A1220E">
        <w:rPr>
          <w:rFonts w:ascii="Arial" w:hAnsi="Arial" w:cs="Arial"/>
          <w:bCs/>
          <w:color w:val="000000"/>
          <w:sz w:val="20"/>
          <w:szCs w:val="20"/>
          <w:lang w:val="vi-VN"/>
        </w:rPr>
        <w:t>Sửa đổi, bổ sung một số điều của Nghị định số 151/2017/NĐ-CP ngày 26/12/2017 của Chính phủ quy định chi tiết một số điều của Luật Quản lý, sử dụng tài sản công (trong đó, sửa đổi 52 Điều, bổ sung 15 Điều, bãi bỏ 02 Điều, 03 khoản, thay thế 02 Mẫu, bổ sung 01 Mẫu, bãi bỏ 03 Mẫu), nội dung chính như sau:</w:t>
      </w:r>
    </w:p>
    <w:p w:rsidR="009A6EE1" w:rsidRPr="00A1220E" w:rsidRDefault="009A6EE1" w:rsidP="00A1220E">
      <w:pPr>
        <w:spacing w:before="20" w:after="20" w:line="240" w:lineRule="auto"/>
        <w:jc w:val="both"/>
        <w:rPr>
          <w:rFonts w:ascii="Arial" w:hAnsi="Arial" w:cs="Arial"/>
          <w:bCs/>
          <w:color w:val="000000"/>
          <w:sz w:val="20"/>
          <w:szCs w:val="20"/>
          <w:lang w:val="vi-VN"/>
        </w:rPr>
      </w:pPr>
      <w:r w:rsidRPr="00A1220E">
        <w:rPr>
          <w:rFonts w:ascii="Arial" w:hAnsi="Arial" w:cs="Arial"/>
          <w:b/>
          <w:bCs/>
          <w:sz w:val="20"/>
          <w:szCs w:val="20"/>
          <w:lang w:val="vi-VN"/>
        </w:rPr>
        <w:t xml:space="preserve">(1) </w:t>
      </w:r>
      <w:r w:rsidRPr="00A1220E">
        <w:rPr>
          <w:rFonts w:ascii="Arial" w:hAnsi="Arial" w:cs="Arial"/>
          <w:bCs/>
          <w:color w:val="000000"/>
          <w:sz w:val="20"/>
          <w:szCs w:val="20"/>
          <w:lang w:val="vi-VN"/>
        </w:rPr>
        <w:t>Bổ sung 15 Điều quy định về các nội dung đã phát sinh trong thực tiễn triển khai nhưng tại Nghị định số 151/2017/NĐ-CP chưa có quy định hướng dẫn cụ thể, gồm:</w:t>
      </w:r>
    </w:p>
    <w:p w:rsidR="009A6EE1" w:rsidRPr="00A1220E" w:rsidRDefault="009A6EE1" w:rsidP="00A1220E">
      <w:pPr>
        <w:spacing w:before="20" w:after="20" w:line="240" w:lineRule="auto"/>
        <w:jc w:val="both"/>
        <w:rPr>
          <w:rFonts w:ascii="Arial" w:hAnsi="Arial" w:cs="Arial"/>
          <w:bCs/>
          <w:spacing w:val="-2"/>
          <w:sz w:val="20"/>
          <w:szCs w:val="20"/>
          <w:lang w:val="vi-VN"/>
        </w:rPr>
      </w:pPr>
      <w:r w:rsidRPr="00A1220E">
        <w:rPr>
          <w:rFonts w:ascii="Arial" w:hAnsi="Arial" w:cs="Arial"/>
          <w:bCs/>
          <w:spacing w:val="-2"/>
          <w:sz w:val="20"/>
          <w:szCs w:val="20"/>
          <w:lang w:val="vi-VN"/>
        </w:rPr>
        <w:t>- Mua sắm, quản lý, sử dụng tài sản công là vật tiêu hao phục vụ hoạt động của cơ quan nhà nước, ĐVSNCL</w:t>
      </w:r>
    </w:p>
    <w:p w:rsidR="009A6EE1" w:rsidRPr="00A1220E" w:rsidRDefault="009A6EE1" w:rsidP="00A1220E">
      <w:pPr>
        <w:spacing w:before="20" w:after="20" w:line="240" w:lineRule="auto"/>
        <w:jc w:val="both"/>
        <w:rPr>
          <w:rFonts w:ascii="Arial" w:hAnsi="Arial" w:cs="Arial"/>
          <w:bCs/>
          <w:spacing w:val="-2"/>
          <w:sz w:val="20"/>
          <w:szCs w:val="20"/>
          <w:lang w:val="vi-VN"/>
        </w:rPr>
      </w:pPr>
      <w:r w:rsidRPr="00A1220E">
        <w:rPr>
          <w:rFonts w:ascii="Arial" w:hAnsi="Arial" w:cs="Arial"/>
          <w:bCs/>
          <w:spacing w:val="-2"/>
          <w:sz w:val="20"/>
          <w:szCs w:val="20"/>
          <w:lang w:val="vi-VN"/>
        </w:rPr>
        <w:t>- Giao tài sản bằng hiện vật cho cơ quan nhà nước, ĐVSNCL</w:t>
      </w:r>
    </w:p>
    <w:p w:rsidR="009A6EE1" w:rsidRPr="00A1220E" w:rsidRDefault="009A6EE1" w:rsidP="00A1220E">
      <w:pPr>
        <w:spacing w:before="20" w:after="20" w:line="240" w:lineRule="auto"/>
        <w:jc w:val="both"/>
        <w:rPr>
          <w:rFonts w:ascii="Arial" w:hAnsi="Arial" w:cs="Arial"/>
          <w:bCs/>
          <w:spacing w:val="-2"/>
          <w:sz w:val="20"/>
          <w:szCs w:val="20"/>
          <w:lang w:val="vi-VN"/>
        </w:rPr>
      </w:pPr>
      <w:r w:rsidRPr="00A1220E">
        <w:rPr>
          <w:rFonts w:ascii="Arial" w:hAnsi="Arial" w:cs="Arial"/>
          <w:bCs/>
          <w:spacing w:val="-2"/>
          <w:sz w:val="20"/>
          <w:szCs w:val="20"/>
          <w:lang w:val="vi-VN"/>
        </w:rPr>
        <w:t>- Xử lý vật tư, vật liệu thu hồi được trong quá trình bảo dưỡng, sửa chữa tài sản công</w:t>
      </w:r>
    </w:p>
    <w:p w:rsidR="009A6EE1" w:rsidRPr="00A1220E" w:rsidRDefault="009A6EE1" w:rsidP="00A1220E">
      <w:pPr>
        <w:spacing w:before="20" w:after="20" w:line="240" w:lineRule="auto"/>
        <w:jc w:val="both"/>
        <w:rPr>
          <w:rFonts w:ascii="Arial" w:hAnsi="Arial" w:cs="Arial"/>
          <w:bCs/>
          <w:spacing w:val="-2"/>
          <w:sz w:val="20"/>
          <w:szCs w:val="20"/>
          <w:lang w:val="vi-VN"/>
        </w:rPr>
      </w:pPr>
      <w:r w:rsidRPr="00A1220E">
        <w:rPr>
          <w:rFonts w:ascii="Arial" w:hAnsi="Arial" w:cs="Arial"/>
          <w:bCs/>
          <w:spacing w:val="-2"/>
          <w:sz w:val="20"/>
          <w:szCs w:val="20"/>
          <w:lang w:val="vi-VN"/>
        </w:rPr>
        <w:t xml:space="preserve">- Khai thác tài sản công tại cơ quan nhà nước, ĐVSNCL đối với: </w:t>
      </w:r>
      <w:r w:rsidRPr="00A1220E">
        <w:rPr>
          <w:rFonts w:ascii="Arial" w:hAnsi="Arial" w:cs="Arial"/>
          <w:bCs/>
          <w:sz w:val="20"/>
          <w:szCs w:val="20"/>
          <w:lang w:val="vi-VN"/>
        </w:rPr>
        <w:t>(i) Tài sản phục vụ hoạt động phụ trợ, hỗ trợ trực tiếp cho việc thực hiện nhiệm vụ chính trị của cơ quan nhà nước, ĐVSNCL; (ii) Tài sản là di tích lịch sử văn hóa, di tích lịch sử gắn với đất thuộc đất xây dựng trụ sở cơ quan, công trình sự nghiệp, phòng truyền thống của cơ quan, đơn vị.</w:t>
      </w:r>
    </w:p>
    <w:p w:rsidR="009A6EE1" w:rsidRPr="00A1220E" w:rsidRDefault="009A6EE1" w:rsidP="00A1220E">
      <w:pPr>
        <w:spacing w:before="20" w:after="20" w:line="240" w:lineRule="auto"/>
        <w:jc w:val="both"/>
        <w:rPr>
          <w:rFonts w:ascii="Arial" w:hAnsi="Arial" w:cs="Arial"/>
          <w:bCs/>
          <w:spacing w:val="-2"/>
          <w:sz w:val="20"/>
          <w:szCs w:val="20"/>
          <w:lang w:val="vi-VN"/>
        </w:rPr>
      </w:pPr>
      <w:r w:rsidRPr="00A1220E">
        <w:rPr>
          <w:rFonts w:ascii="Arial" w:hAnsi="Arial" w:cs="Arial"/>
          <w:bCs/>
          <w:spacing w:val="-2"/>
          <w:sz w:val="20"/>
          <w:szCs w:val="20"/>
          <w:lang w:val="vi-VN"/>
        </w:rPr>
        <w:t>- Chuyển giao tài sản công về địa phương quản lý, xử lý (tương tự như quy định về chuyển giao nhà, đất về địa phương quản lý, xử lý quy định tại Nghị định số 167/2017/NĐ-CP, Nghị định số 67/2021/NĐ-CP).</w:t>
      </w:r>
    </w:p>
    <w:p w:rsidR="009A6EE1" w:rsidRPr="00A1220E" w:rsidRDefault="009A6EE1" w:rsidP="00A1220E">
      <w:pPr>
        <w:spacing w:before="20" w:after="20" w:line="240" w:lineRule="auto"/>
        <w:jc w:val="both"/>
        <w:rPr>
          <w:rFonts w:ascii="Arial" w:hAnsi="Arial" w:cs="Arial"/>
          <w:bCs/>
          <w:spacing w:val="-4"/>
          <w:sz w:val="20"/>
          <w:szCs w:val="20"/>
          <w:lang w:val="vi-VN"/>
        </w:rPr>
      </w:pPr>
      <w:r w:rsidRPr="00A1220E">
        <w:rPr>
          <w:rFonts w:ascii="Arial" w:hAnsi="Arial" w:cs="Arial"/>
          <w:bCs/>
          <w:spacing w:val="-4"/>
          <w:sz w:val="20"/>
          <w:szCs w:val="20"/>
          <w:lang w:val="vi-VN"/>
        </w:rPr>
        <w:t>- Xử lý tài sản công trong trường hợp sáp nhập, hợp nhất, chia tách, giải thể.</w:t>
      </w:r>
    </w:p>
    <w:p w:rsidR="009A6EE1" w:rsidRPr="00A1220E" w:rsidRDefault="009A6EE1" w:rsidP="00A1220E">
      <w:pPr>
        <w:spacing w:before="20" w:after="20" w:line="240" w:lineRule="auto"/>
        <w:jc w:val="both"/>
        <w:rPr>
          <w:rFonts w:ascii="Arial" w:hAnsi="Arial" w:cs="Arial"/>
          <w:bCs/>
          <w:spacing w:val="-2"/>
          <w:sz w:val="20"/>
          <w:szCs w:val="20"/>
          <w:lang w:val="vi-VN"/>
        </w:rPr>
      </w:pPr>
      <w:r w:rsidRPr="00A1220E">
        <w:rPr>
          <w:rFonts w:ascii="Arial" w:hAnsi="Arial" w:cs="Arial"/>
          <w:bCs/>
          <w:spacing w:val="-2"/>
          <w:sz w:val="20"/>
          <w:szCs w:val="20"/>
          <w:lang w:val="vi-VN"/>
        </w:rPr>
        <w:t>- Xử lý tài sản công là vũ khí, vật liệu nổ, công cụ hỗ trợ, sản phẩm mật mã của ngành cơ yếu trang bị cho cơ quan nhà nước.</w:t>
      </w:r>
    </w:p>
    <w:p w:rsidR="009A6EE1" w:rsidRPr="00A1220E" w:rsidRDefault="009A6EE1" w:rsidP="00A1220E">
      <w:pPr>
        <w:spacing w:before="20" w:after="20" w:line="240" w:lineRule="auto"/>
        <w:jc w:val="both"/>
        <w:rPr>
          <w:rFonts w:ascii="Arial" w:hAnsi="Arial" w:cs="Arial"/>
          <w:bCs/>
          <w:spacing w:val="-2"/>
          <w:sz w:val="20"/>
          <w:szCs w:val="20"/>
          <w:lang w:val="vi-VN"/>
        </w:rPr>
      </w:pPr>
      <w:r w:rsidRPr="00A1220E">
        <w:rPr>
          <w:rFonts w:ascii="Arial" w:hAnsi="Arial" w:cs="Arial"/>
          <w:bCs/>
          <w:spacing w:val="-2"/>
          <w:sz w:val="20"/>
          <w:szCs w:val="20"/>
          <w:lang w:val="vi-VN"/>
        </w:rPr>
        <w:t>- Tài sản công tại đơn vị sự nghiệp công lập được sử dụng để thực hiện chức năng, nhiệm vụ do Nhà nước giao.</w:t>
      </w:r>
    </w:p>
    <w:p w:rsidR="009A6EE1" w:rsidRPr="00A1220E" w:rsidRDefault="009A6EE1" w:rsidP="00A1220E">
      <w:pPr>
        <w:spacing w:before="20" w:after="20" w:line="240" w:lineRule="auto"/>
        <w:jc w:val="both"/>
        <w:rPr>
          <w:rFonts w:ascii="Arial" w:hAnsi="Arial" w:cs="Arial"/>
          <w:bCs/>
          <w:spacing w:val="-2"/>
          <w:sz w:val="20"/>
          <w:szCs w:val="20"/>
          <w:lang w:val="vi-VN"/>
        </w:rPr>
      </w:pPr>
      <w:r w:rsidRPr="00A1220E">
        <w:rPr>
          <w:rFonts w:ascii="Arial" w:hAnsi="Arial" w:cs="Arial"/>
          <w:bCs/>
          <w:spacing w:val="-2"/>
          <w:sz w:val="20"/>
          <w:szCs w:val="20"/>
          <w:lang w:val="vi-VN"/>
        </w:rPr>
        <w:t>- Quản lý, sử dụng tài sản công tại đơn vị sự nghiệp công lập.</w:t>
      </w:r>
    </w:p>
    <w:p w:rsidR="009A6EE1" w:rsidRPr="00A1220E" w:rsidRDefault="009A6EE1" w:rsidP="00A1220E">
      <w:pPr>
        <w:spacing w:before="20" w:after="20" w:line="240" w:lineRule="auto"/>
        <w:jc w:val="both"/>
        <w:rPr>
          <w:rFonts w:ascii="Arial" w:hAnsi="Arial" w:cs="Arial"/>
          <w:bCs/>
          <w:spacing w:val="-2"/>
          <w:sz w:val="20"/>
          <w:szCs w:val="20"/>
          <w:lang w:val="vi-VN"/>
        </w:rPr>
      </w:pPr>
      <w:r w:rsidRPr="00A1220E">
        <w:rPr>
          <w:rFonts w:ascii="Arial" w:hAnsi="Arial" w:cs="Arial"/>
          <w:bCs/>
          <w:spacing w:val="-2"/>
          <w:sz w:val="20"/>
          <w:szCs w:val="20"/>
          <w:lang w:val="vi-VN"/>
        </w:rPr>
        <w:t xml:space="preserve">- Xử lý </w:t>
      </w:r>
      <w:bookmarkStart w:id="0" w:name="dieu_27"/>
      <w:r w:rsidRPr="00A1220E">
        <w:rPr>
          <w:rFonts w:ascii="Arial" w:hAnsi="Arial" w:cs="Arial"/>
          <w:bCs/>
          <w:spacing w:val="-2"/>
          <w:sz w:val="20"/>
          <w:szCs w:val="20"/>
          <w:lang w:val="vi-VN"/>
        </w:rPr>
        <w:t>vật tư, vật liệu thu hồi trong quá trình thực hiện dự án</w:t>
      </w:r>
      <w:bookmarkEnd w:id="0"/>
      <w:r w:rsidRPr="00A1220E">
        <w:rPr>
          <w:rFonts w:ascii="Arial" w:hAnsi="Arial" w:cs="Arial"/>
          <w:bCs/>
          <w:spacing w:val="-2"/>
          <w:sz w:val="20"/>
          <w:szCs w:val="20"/>
          <w:lang w:val="vi-VN"/>
        </w:rPr>
        <w:t>.</w:t>
      </w:r>
    </w:p>
    <w:p w:rsidR="009A6EE1" w:rsidRPr="00A1220E" w:rsidRDefault="009A6EE1" w:rsidP="00A1220E">
      <w:pPr>
        <w:spacing w:before="20" w:after="20" w:line="240" w:lineRule="auto"/>
        <w:jc w:val="both"/>
        <w:rPr>
          <w:rFonts w:ascii="Arial" w:hAnsi="Arial" w:cs="Arial"/>
          <w:bCs/>
          <w:spacing w:val="-2"/>
          <w:sz w:val="20"/>
          <w:szCs w:val="20"/>
          <w:lang w:val="vi-VN"/>
        </w:rPr>
      </w:pPr>
      <w:r w:rsidRPr="00A1220E">
        <w:rPr>
          <w:rFonts w:ascii="Arial" w:hAnsi="Arial" w:cs="Arial"/>
          <w:b/>
          <w:spacing w:val="-2"/>
          <w:sz w:val="20"/>
          <w:szCs w:val="20"/>
          <w:lang w:val="vi-VN"/>
        </w:rPr>
        <w:t xml:space="preserve">(2) </w:t>
      </w:r>
      <w:r w:rsidRPr="00A1220E">
        <w:rPr>
          <w:rFonts w:ascii="Arial" w:hAnsi="Arial" w:cs="Arial"/>
          <w:bCs/>
          <w:spacing w:val="-2"/>
          <w:sz w:val="20"/>
          <w:szCs w:val="20"/>
          <w:lang w:val="vi-VN"/>
        </w:rPr>
        <w:t>Sửa đổi, bổ sung 52 Điều của Nghị định số 151/2017/NĐ-CP, một số nội dung sửa đổi, bổ sung cụ thể như sau:</w:t>
      </w:r>
    </w:p>
    <w:p w:rsidR="009A6EE1" w:rsidRPr="00A1220E" w:rsidRDefault="009A6EE1" w:rsidP="00A1220E">
      <w:pPr>
        <w:spacing w:before="20" w:after="20" w:line="240" w:lineRule="auto"/>
        <w:jc w:val="both"/>
        <w:rPr>
          <w:rFonts w:ascii="Arial" w:hAnsi="Arial" w:cs="Arial"/>
          <w:bCs/>
          <w:iCs/>
          <w:sz w:val="20"/>
          <w:szCs w:val="20"/>
          <w:lang w:val="vi-VN"/>
        </w:rPr>
      </w:pPr>
      <w:r w:rsidRPr="00A1220E">
        <w:rPr>
          <w:rFonts w:ascii="Arial" w:hAnsi="Arial" w:cs="Arial"/>
          <w:b/>
          <w:bCs/>
          <w:iCs/>
          <w:sz w:val="20"/>
          <w:szCs w:val="20"/>
          <w:lang w:val="vi-VN"/>
        </w:rPr>
        <w:t xml:space="preserve">- </w:t>
      </w:r>
      <w:r w:rsidRPr="00A1220E">
        <w:rPr>
          <w:rFonts w:ascii="Arial" w:hAnsi="Arial" w:cs="Arial"/>
          <w:bCs/>
          <w:iCs/>
          <w:sz w:val="20"/>
          <w:szCs w:val="20"/>
          <w:lang w:val="vi-VN"/>
        </w:rPr>
        <w:t>Bỏ quy định về việc ban hành Quyết định mua sắm tài sản để phù hợp với Luật Đấu thầu và Nghị định số 24/2024/NĐ-CP.</w:t>
      </w:r>
    </w:p>
    <w:p w:rsidR="009A6EE1" w:rsidRPr="00A1220E" w:rsidRDefault="009A6EE1" w:rsidP="00A1220E">
      <w:pPr>
        <w:spacing w:before="20" w:after="20" w:line="240" w:lineRule="auto"/>
        <w:jc w:val="both"/>
        <w:rPr>
          <w:rFonts w:ascii="Arial" w:hAnsi="Arial" w:cs="Arial"/>
          <w:bCs/>
          <w:sz w:val="20"/>
          <w:szCs w:val="20"/>
          <w:lang w:val="vi-VN"/>
        </w:rPr>
      </w:pPr>
      <w:r w:rsidRPr="00A1220E">
        <w:rPr>
          <w:rFonts w:ascii="Arial" w:hAnsi="Arial" w:cs="Arial"/>
          <w:b/>
          <w:bCs/>
          <w:iCs/>
          <w:sz w:val="20"/>
          <w:szCs w:val="20"/>
          <w:lang w:val="vi-VN"/>
        </w:rPr>
        <w:t xml:space="preserve">- </w:t>
      </w:r>
      <w:r w:rsidRPr="00A1220E">
        <w:rPr>
          <w:rFonts w:ascii="Arial" w:hAnsi="Arial" w:cs="Arial"/>
          <w:bCs/>
          <w:iCs/>
          <w:sz w:val="20"/>
          <w:szCs w:val="20"/>
          <w:lang w:val="vi-VN"/>
        </w:rPr>
        <w:t>Bổ sung quy định về việc khai thác tài sản công có quyết định thu hồi của cơ quan, người có thẩm quyền</w:t>
      </w:r>
      <w:r w:rsidRPr="00A1220E">
        <w:rPr>
          <w:rFonts w:ascii="Arial" w:hAnsi="Arial" w:cs="Arial"/>
          <w:b/>
          <w:bCs/>
          <w:iCs/>
          <w:sz w:val="20"/>
          <w:szCs w:val="20"/>
          <w:lang w:val="vi-VN"/>
        </w:rPr>
        <w:t xml:space="preserve"> </w:t>
      </w:r>
      <w:r w:rsidRPr="00A1220E">
        <w:rPr>
          <w:rFonts w:ascii="Arial" w:hAnsi="Arial" w:cs="Arial"/>
          <w:bCs/>
          <w:sz w:val="20"/>
          <w:szCs w:val="20"/>
          <w:lang w:val="vi-VN"/>
        </w:rPr>
        <w:t>theo các hình thức sau: (1) Bố trí cho cơ quan, tổ chức, đơn vị sử dụng tạm thời trong thời gian thực hiện cải tạo, sửa chữa, nâng cấp, đầu tư xây dựng trụ sở làm việc, cơ sở hoạt động sự nghiệp; (2) Giao tổ chức có chức năng quản lý, kinh doanh nhà của địa phương quản lý, khai thác theo quy định của Chính phủ về quản lý, sử dụng và khai thác nhà, đất không sử dụng vào mục đích để ở giao cho tổ chức có chức năng quản lý, kinh doanh nhà địa phương quản lý, khai thác; (3) Giao tổ chức phát triển quỹ đất quản lý, khai thác theo quy định của pháp luật về đất đai.</w:t>
      </w:r>
    </w:p>
    <w:p w:rsidR="009A6EE1" w:rsidRPr="00A1220E" w:rsidRDefault="009A6EE1" w:rsidP="00A1220E">
      <w:pPr>
        <w:spacing w:before="20" w:after="20" w:line="240" w:lineRule="auto"/>
        <w:jc w:val="both"/>
        <w:rPr>
          <w:rFonts w:ascii="Arial" w:hAnsi="Arial" w:cs="Arial"/>
          <w:bCs/>
          <w:spacing w:val="-2"/>
          <w:sz w:val="20"/>
          <w:szCs w:val="20"/>
          <w:lang w:val="vi-VN"/>
        </w:rPr>
      </w:pPr>
      <w:r w:rsidRPr="00A1220E">
        <w:rPr>
          <w:rFonts w:ascii="Arial" w:hAnsi="Arial" w:cs="Arial"/>
          <w:b/>
          <w:bCs/>
          <w:spacing w:val="-2"/>
          <w:sz w:val="20"/>
          <w:szCs w:val="20"/>
          <w:lang w:val="vi-VN"/>
        </w:rPr>
        <w:t xml:space="preserve">- </w:t>
      </w:r>
      <w:r w:rsidRPr="00A1220E">
        <w:rPr>
          <w:rFonts w:ascii="Arial" w:hAnsi="Arial" w:cs="Arial"/>
          <w:bCs/>
          <w:spacing w:val="-2"/>
          <w:sz w:val="20"/>
          <w:szCs w:val="20"/>
          <w:lang w:val="vi-VN"/>
        </w:rPr>
        <w:t>Sửa đổi quy định về xác định giá khởi điểm khi bán đấu giá trụ sở làm việc theo hướng quy định bổ sung việc xác định giá khởi điểm trong trường hợp thực hiện cho thuê đất trả tiền thuê đất hàng năm sau khi bán trụ sở làm việc bên cạnh việc xác định theo hình thức giao đất, cho thuê đất thu tiền thuê đất một lần khi bán trụ sở làm việc như hiện hành</w:t>
      </w:r>
      <w:r w:rsidRPr="00A1220E">
        <w:rPr>
          <w:rFonts w:ascii="Arial" w:hAnsi="Arial" w:cs="Arial"/>
          <w:spacing w:val="-2"/>
          <w:sz w:val="20"/>
          <w:szCs w:val="20"/>
          <w:lang w:val="vi-VN"/>
        </w:rPr>
        <w:t>.</w:t>
      </w:r>
    </w:p>
    <w:p w:rsidR="009A6EE1" w:rsidRPr="00A1220E" w:rsidRDefault="009A6EE1" w:rsidP="00A1220E">
      <w:pPr>
        <w:spacing w:before="20" w:after="20" w:line="240" w:lineRule="auto"/>
        <w:jc w:val="both"/>
        <w:rPr>
          <w:rFonts w:ascii="Arial" w:hAnsi="Arial" w:cs="Arial"/>
          <w:bCs/>
          <w:sz w:val="20"/>
          <w:szCs w:val="20"/>
          <w:lang w:val="vi-VN"/>
        </w:rPr>
      </w:pPr>
      <w:r w:rsidRPr="00A1220E">
        <w:rPr>
          <w:rFonts w:ascii="Arial" w:hAnsi="Arial" w:cs="Arial"/>
          <w:b/>
          <w:bCs/>
          <w:sz w:val="20"/>
          <w:szCs w:val="20"/>
          <w:lang w:val="vi-VN"/>
        </w:rPr>
        <w:t xml:space="preserve">- </w:t>
      </w:r>
      <w:r w:rsidRPr="00A1220E">
        <w:rPr>
          <w:rFonts w:ascii="Arial" w:hAnsi="Arial" w:cs="Arial"/>
          <w:bCs/>
          <w:sz w:val="20"/>
          <w:szCs w:val="20"/>
          <w:lang w:val="vi-VN"/>
        </w:rPr>
        <w:t xml:space="preserve">Bỏ quy định về nộp tiền thuê đất đối với trường hợp sử dụng tài sản gắn liền với đất vào mục đích kinh doanh, cho thuê, liên doanh, liên kết tại Nghị định số 151/2017/NĐ-CP; thay vào đó, bổ sung quy định khi đơn vị sự nghiệp công lập sử dụng tài sản công để kinh doanh, cho thuê, liên doanh, liên kết thì phải nộp ngân sách nhà nước một khoản tiền tương đương 2% doanh thu đơn vị sự nghiệp công lập thu được từ hoạt động kinh doanh, cho thuê, liên doanh, liên kết </w:t>
      </w:r>
      <w:r w:rsidRPr="00A1220E">
        <w:rPr>
          <w:rFonts w:ascii="Arial" w:hAnsi="Arial" w:cs="Arial"/>
          <w:sz w:val="20"/>
          <w:szCs w:val="20"/>
          <w:lang w:val="vi-VN"/>
        </w:rPr>
        <w:t>(ngoài các khoản thuế, phí, lệ phí phải nộp theo quy định của pháp luật về thuế, phí, lệ phí); trừ trường hợp đơn vị sự nghiệp thuộc lĩnh vực giáo dục – đào tạo, dạy nghề, y tế, văn hóa, thể dục thể thao thì không phải nộp khoản tiền này.</w:t>
      </w:r>
    </w:p>
    <w:p w:rsidR="009A6EE1" w:rsidRPr="00A1220E" w:rsidRDefault="009A6EE1" w:rsidP="00A1220E">
      <w:pPr>
        <w:widowControl w:val="0"/>
        <w:tabs>
          <w:tab w:val="left" w:pos="709"/>
        </w:tabs>
        <w:spacing w:before="20" w:after="20" w:line="240" w:lineRule="auto"/>
        <w:jc w:val="both"/>
        <w:rPr>
          <w:rFonts w:ascii="Arial" w:hAnsi="Arial" w:cs="Arial"/>
          <w:spacing w:val="-4"/>
          <w:sz w:val="20"/>
          <w:szCs w:val="20"/>
          <w:lang w:val="vi-VN"/>
        </w:rPr>
      </w:pPr>
      <w:r w:rsidRPr="00A1220E">
        <w:rPr>
          <w:rFonts w:ascii="Arial" w:hAnsi="Arial" w:cs="Arial"/>
          <w:b/>
          <w:bCs/>
          <w:sz w:val="20"/>
          <w:szCs w:val="20"/>
          <w:lang w:val="vi-VN"/>
        </w:rPr>
        <w:t>-</w:t>
      </w:r>
      <w:r w:rsidRPr="00A1220E">
        <w:rPr>
          <w:rFonts w:ascii="Arial" w:hAnsi="Arial" w:cs="Arial"/>
          <w:sz w:val="20"/>
          <w:szCs w:val="20"/>
          <w:lang w:val="vi-VN"/>
        </w:rPr>
        <w:t xml:space="preserve"> Sửa đổi các quy định về thẩm quyền quyết định trong mua sắm, thuê, xử lý tài sản công tại cơ quan, tổ chức, đơn vị</w:t>
      </w:r>
      <w:r w:rsidRPr="00A1220E">
        <w:rPr>
          <w:rFonts w:ascii="Arial" w:hAnsi="Arial" w:cs="Arial"/>
          <w:spacing w:val="-4"/>
          <w:sz w:val="20"/>
          <w:szCs w:val="20"/>
          <w:lang w:val="vi-VN"/>
        </w:rPr>
        <w:t>.</w:t>
      </w:r>
    </w:p>
    <w:p w:rsidR="009A6EE1" w:rsidRPr="00A1220E" w:rsidRDefault="009A6EE1" w:rsidP="00A1220E">
      <w:pPr>
        <w:spacing w:before="20" w:after="20" w:line="240" w:lineRule="auto"/>
        <w:jc w:val="both"/>
        <w:rPr>
          <w:rFonts w:ascii="Arial" w:hAnsi="Arial" w:cs="Arial"/>
          <w:color w:val="000000"/>
          <w:sz w:val="20"/>
          <w:szCs w:val="20"/>
          <w:lang w:val="vi-VN"/>
        </w:rPr>
      </w:pPr>
      <w:r w:rsidRPr="00A1220E">
        <w:rPr>
          <w:rFonts w:ascii="Arial" w:hAnsi="Arial" w:cs="Arial"/>
          <w:b/>
          <w:bCs/>
          <w:color w:val="000000"/>
          <w:sz w:val="20"/>
          <w:szCs w:val="20"/>
          <w:lang w:val="vi-VN"/>
        </w:rPr>
        <w:t>-</w:t>
      </w:r>
      <w:r w:rsidRPr="00A1220E">
        <w:rPr>
          <w:rFonts w:ascii="Arial" w:hAnsi="Arial" w:cs="Arial"/>
          <w:color w:val="000000"/>
          <w:sz w:val="20"/>
          <w:szCs w:val="20"/>
          <w:lang w:val="vi-VN"/>
        </w:rPr>
        <w:t xml:space="preserve"> Sửa đổi quy định về cơ quan mở tài khoản tạm giữ tại Kho bạc Nhà nước theo hướng giao cơ quan được giao thực hiện nhiệm vụ quản lý tài sản công quy định tại khoản 2 Điều 19 của Luật Quản lý, sử dụng tài sản công làm chủ tài khoản quản lý số tiền thu được từ xử lý tài sản công của cơ quan, tổ chức, đơn vị thuộc phạm vi quản lý của bộ, cơ quan trung ương (thay cho Sở Tài chính như quy định hiện nay).</w:t>
      </w:r>
    </w:p>
    <w:p w:rsidR="009A6EE1" w:rsidRPr="00A1220E" w:rsidRDefault="009A6EE1" w:rsidP="00A1220E">
      <w:pPr>
        <w:widowControl w:val="0"/>
        <w:spacing w:before="20" w:after="20" w:line="240" w:lineRule="auto"/>
        <w:jc w:val="both"/>
        <w:rPr>
          <w:rFonts w:ascii="Arial" w:hAnsi="Arial" w:cs="Arial"/>
          <w:color w:val="000000"/>
          <w:sz w:val="20"/>
          <w:szCs w:val="20"/>
          <w:lang w:val="vi-VN"/>
        </w:rPr>
      </w:pPr>
      <w:r w:rsidRPr="00A1220E">
        <w:rPr>
          <w:rFonts w:ascii="Arial" w:hAnsi="Arial" w:cs="Arial"/>
          <w:b/>
          <w:bCs/>
          <w:color w:val="000000"/>
          <w:sz w:val="20"/>
          <w:szCs w:val="20"/>
          <w:lang w:val="vi-VN"/>
        </w:rPr>
        <w:t xml:space="preserve">- </w:t>
      </w:r>
      <w:r w:rsidRPr="00A1220E">
        <w:rPr>
          <w:rFonts w:ascii="Arial" w:hAnsi="Arial" w:cs="Arial"/>
          <w:color w:val="000000"/>
          <w:sz w:val="20"/>
          <w:szCs w:val="20"/>
          <w:lang w:val="vi-VN"/>
        </w:rPr>
        <w:t>Bổ sung quy định về việc sử dụng Hóa đơn điện tử khi xử lý tài sản công.</w:t>
      </w:r>
    </w:p>
    <w:p w:rsidR="009A6EE1" w:rsidRPr="00A1220E" w:rsidRDefault="009A6EE1" w:rsidP="00A1220E">
      <w:pPr>
        <w:widowControl w:val="0"/>
        <w:spacing w:before="20" w:after="20" w:line="240" w:lineRule="auto"/>
        <w:jc w:val="both"/>
        <w:rPr>
          <w:rFonts w:ascii="Arial" w:hAnsi="Arial" w:cs="Arial"/>
          <w:b/>
          <w:color w:val="000000"/>
          <w:sz w:val="20"/>
          <w:szCs w:val="20"/>
          <w:lang w:val="vi-VN"/>
        </w:rPr>
      </w:pPr>
      <w:r w:rsidRPr="00A1220E">
        <w:rPr>
          <w:rFonts w:ascii="Arial" w:hAnsi="Arial" w:cs="Arial"/>
          <w:b/>
          <w:color w:val="000000"/>
          <w:sz w:val="20"/>
          <w:szCs w:val="20"/>
          <w:lang w:val="vi-VN"/>
        </w:rPr>
        <w:lastRenderedPageBreak/>
        <w:t>4.3. Danh mục Phụ lục kèm theo:</w:t>
      </w:r>
    </w:p>
    <w:p w:rsidR="009A6EE1" w:rsidRPr="00A1220E" w:rsidRDefault="009A6EE1" w:rsidP="00A1220E">
      <w:pPr>
        <w:spacing w:before="20" w:after="20" w:line="240" w:lineRule="auto"/>
        <w:jc w:val="both"/>
        <w:rPr>
          <w:rFonts w:ascii="Arial" w:hAnsi="Arial" w:cs="Arial"/>
          <w:color w:val="000000"/>
          <w:sz w:val="20"/>
          <w:szCs w:val="20"/>
          <w:lang w:val="vi-VN"/>
        </w:rPr>
      </w:pPr>
      <w:r w:rsidRPr="00A1220E">
        <w:rPr>
          <w:rFonts w:ascii="Arial" w:hAnsi="Arial" w:cs="Arial"/>
          <w:color w:val="000000"/>
          <w:sz w:val="20"/>
          <w:szCs w:val="20"/>
          <w:lang w:val="vi-VN"/>
        </w:rPr>
        <w:t>- Phụ lục 01. Mẫu số 02/TSC-ĐA - Đề án sử dụng tài sản công tại đơn vị sự nghiệp công lập vào mục đích kinh doanh/cho thuê/liên doanh, liên kết.</w:t>
      </w:r>
    </w:p>
    <w:p w:rsidR="009A6EE1" w:rsidRPr="00A1220E" w:rsidRDefault="009A6EE1" w:rsidP="00A1220E">
      <w:pPr>
        <w:spacing w:before="20" w:after="20" w:line="240" w:lineRule="auto"/>
        <w:jc w:val="both"/>
        <w:rPr>
          <w:rFonts w:ascii="Arial" w:hAnsi="Arial" w:cs="Arial"/>
          <w:color w:val="000000"/>
          <w:sz w:val="20"/>
          <w:szCs w:val="20"/>
          <w:lang w:val="vi-VN"/>
        </w:rPr>
      </w:pPr>
      <w:r w:rsidRPr="00A1220E">
        <w:rPr>
          <w:rFonts w:ascii="Arial" w:hAnsi="Arial" w:cs="Arial"/>
          <w:color w:val="000000"/>
          <w:sz w:val="20"/>
          <w:szCs w:val="20"/>
          <w:lang w:val="vi-VN"/>
        </w:rPr>
        <w:t>- Phụ lục 02. Mẫu số 08/TSC-HĐ - Hóa đơn bán tài sản công.</w:t>
      </w:r>
    </w:p>
    <w:p w:rsidR="00A850CF" w:rsidRPr="00A1220E" w:rsidRDefault="009A6EE1" w:rsidP="00A1220E">
      <w:pPr>
        <w:spacing w:before="20" w:after="20" w:line="240" w:lineRule="auto"/>
        <w:jc w:val="both"/>
        <w:rPr>
          <w:rFonts w:ascii="Arial" w:hAnsi="Arial" w:cs="Arial"/>
          <w:color w:val="000000"/>
          <w:sz w:val="20"/>
          <w:szCs w:val="20"/>
          <w:lang w:val="vi-VN"/>
        </w:rPr>
      </w:pPr>
      <w:r w:rsidRPr="00A1220E">
        <w:rPr>
          <w:rFonts w:ascii="Arial" w:hAnsi="Arial" w:cs="Arial"/>
          <w:color w:val="000000"/>
          <w:sz w:val="20"/>
          <w:szCs w:val="20"/>
          <w:lang w:val="vi-VN"/>
        </w:rPr>
        <w:t>- Phụ lục 03. Mẫu số 18/TSC-XLTS - Mẫu Văn bản đề nghị xử lý tài sản./.</w:t>
      </w:r>
    </w:p>
    <w:sectPr w:rsidR="00A850CF" w:rsidRPr="00A1220E" w:rsidSect="000E06BD">
      <w:headerReference w:type="default" r:id="rId7"/>
      <w:pgSz w:w="11907" w:h="16839" w:code="9"/>
      <w:pgMar w:top="1418" w:right="1134" w:bottom="1418"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4AB" w:rsidRDefault="00B864AB" w:rsidP="00B56856">
      <w:pPr>
        <w:spacing w:after="0" w:line="240" w:lineRule="auto"/>
      </w:pPr>
      <w:r>
        <w:separator/>
      </w:r>
    </w:p>
  </w:endnote>
  <w:endnote w:type="continuationSeparator" w:id="0">
    <w:p w:rsidR="00B864AB" w:rsidRDefault="00B864AB" w:rsidP="00B568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4AB" w:rsidRDefault="00B864AB" w:rsidP="00B56856">
      <w:pPr>
        <w:spacing w:after="0" w:line="240" w:lineRule="auto"/>
      </w:pPr>
      <w:r>
        <w:separator/>
      </w:r>
    </w:p>
  </w:footnote>
  <w:footnote w:type="continuationSeparator" w:id="0">
    <w:p w:rsidR="00B864AB" w:rsidRDefault="00B864AB" w:rsidP="00B568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D43" w:rsidRPr="00100F37" w:rsidRDefault="008E0985">
    <w:pPr>
      <w:pStyle w:val="Header"/>
      <w:jc w:val="center"/>
      <w:rPr>
        <w:rFonts w:ascii="Times New Roman" w:hAnsi="Times New Roman"/>
      </w:rPr>
    </w:pPr>
    <w:r w:rsidRPr="00100F37">
      <w:rPr>
        <w:rFonts w:ascii="Times New Roman" w:hAnsi="Times New Roman"/>
      </w:rPr>
      <w:fldChar w:fldCharType="begin"/>
    </w:r>
    <w:r w:rsidR="00FC5D43" w:rsidRPr="00100F37">
      <w:rPr>
        <w:rFonts w:ascii="Times New Roman" w:hAnsi="Times New Roman"/>
      </w:rPr>
      <w:instrText xml:space="preserve"> PAGE   \* MERGEFORMAT </w:instrText>
    </w:r>
    <w:r w:rsidRPr="00100F37">
      <w:rPr>
        <w:rFonts w:ascii="Times New Roman" w:hAnsi="Times New Roman"/>
      </w:rPr>
      <w:fldChar w:fldCharType="separate"/>
    </w:r>
    <w:r w:rsidR="00A1220E">
      <w:rPr>
        <w:rFonts w:ascii="Times New Roman" w:hAnsi="Times New Roman"/>
        <w:noProof/>
      </w:rPr>
      <w:t>3</w:t>
    </w:r>
    <w:r w:rsidRPr="00100F37">
      <w:rPr>
        <w:rFonts w:ascii="Times New Roman" w:hAnsi="Times New Roman"/>
      </w:rPr>
      <w:fldChar w:fldCharType="end"/>
    </w:r>
  </w:p>
  <w:p w:rsidR="00FC5D43" w:rsidRDefault="00FC5D4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32496"/>
    <w:rsid w:val="00012581"/>
    <w:rsid w:val="00051064"/>
    <w:rsid w:val="00057F7E"/>
    <w:rsid w:val="00067188"/>
    <w:rsid w:val="0009137C"/>
    <w:rsid w:val="00095A66"/>
    <w:rsid w:val="000C2D6A"/>
    <w:rsid w:val="000E06BD"/>
    <w:rsid w:val="0013255D"/>
    <w:rsid w:val="00161DE8"/>
    <w:rsid w:val="0018760E"/>
    <w:rsid w:val="001C47A0"/>
    <w:rsid w:val="001D5F0C"/>
    <w:rsid w:val="002049DC"/>
    <w:rsid w:val="00244B8D"/>
    <w:rsid w:val="002E0BC6"/>
    <w:rsid w:val="002F07BF"/>
    <w:rsid w:val="002F0ECC"/>
    <w:rsid w:val="002F3C36"/>
    <w:rsid w:val="00313F99"/>
    <w:rsid w:val="003171FE"/>
    <w:rsid w:val="00340E33"/>
    <w:rsid w:val="003A267F"/>
    <w:rsid w:val="003D39F0"/>
    <w:rsid w:val="003D417D"/>
    <w:rsid w:val="003E7381"/>
    <w:rsid w:val="00402022"/>
    <w:rsid w:val="0040433C"/>
    <w:rsid w:val="00413243"/>
    <w:rsid w:val="0041636C"/>
    <w:rsid w:val="004216DB"/>
    <w:rsid w:val="00443326"/>
    <w:rsid w:val="0044689D"/>
    <w:rsid w:val="00456A0C"/>
    <w:rsid w:val="00464FD5"/>
    <w:rsid w:val="004A4120"/>
    <w:rsid w:val="004B27A5"/>
    <w:rsid w:val="004B5EF9"/>
    <w:rsid w:val="004E7731"/>
    <w:rsid w:val="005569A7"/>
    <w:rsid w:val="00566D8E"/>
    <w:rsid w:val="0068742F"/>
    <w:rsid w:val="007125E3"/>
    <w:rsid w:val="00721E09"/>
    <w:rsid w:val="00735DC0"/>
    <w:rsid w:val="00746E3B"/>
    <w:rsid w:val="0075429D"/>
    <w:rsid w:val="00774C52"/>
    <w:rsid w:val="00775BAC"/>
    <w:rsid w:val="0079170A"/>
    <w:rsid w:val="00797489"/>
    <w:rsid w:val="0080774A"/>
    <w:rsid w:val="00807E0F"/>
    <w:rsid w:val="00820EBF"/>
    <w:rsid w:val="00823D8C"/>
    <w:rsid w:val="00847234"/>
    <w:rsid w:val="00864334"/>
    <w:rsid w:val="008C1089"/>
    <w:rsid w:val="008E0985"/>
    <w:rsid w:val="0092466C"/>
    <w:rsid w:val="00967E63"/>
    <w:rsid w:val="0098389E"/>
    <w:rsid w:val="009A6EE1"/>
    <w:rsid w:val="009B7D03"/>
    <w:rsid w:val="009C03A5"/>
    <w:rsid w:val="009C64B6"/>
    <w:rsid w:val="009D3CE3"/>
    <w:rsid w:val="009D4A56"/>
    <w:rsid w:val="009E6E8C"/>
    <w:rsid w:val="009F2BE9"/>
    <w:rsid w:val="00A1220E"/>
    <w:rsid w:val="00A222F2"/>
    <w:rsid w:val="00A54941"/>
    <w:rsid w:val="00A850CF"/>
    <w:rsid w:val="00AA5D01"/>
    <w:rsid w:val="00AA6AA7"/>
    <w:rsid w:val="00B257AA"/>
    <w:rsid w:val="00B539AE"/>
    <w:rsid w:val="00B56856"/>
    <w:rsid w:val="00B8055B"/>
    <w:rsid w:val="00B864AB"/>
    <w:rsid w:val="00B9360B"/>
    <w:rsid w:val="00BD4C47"/>
    <w:rsid w:val="00C31A47"/>
    <w:rsid w:val="00C978D0"/>
    <w:rsid w:val="00CE1C41"/>
    <w:rsid w:val="00D3146C"/>
    <w:rsid w:val="00D37F02"/>
    <w:rsid w:val="00D42142"/>
    <w:rsid w:val="00D54948"/>
    <w:rsid w:val="00D66276"/>
    <w:rsid w:val="00D84AAC"/>
    <w:rsid w:val="00D87DAB"/>
    <w:rsid w:val="00DA4A6D"/>
    <w:rsid w:val="00DC05D9"/>
    <w:rsid w:val="00E036AF"/>
    <w:rsid w:val="00E32496"/>
    <w:rsid w:val="00E75BB2"/>
    <w:rsid w:val="00ED4B59"/>
    <w:rsid w:val="00F15060"/>
    <w:rsid w:val="00F21945"/>
    <w:rsid w:val="00F327AB"/>
    <w:rsid w:val="00F6504D"/>
    <w:rsid w:val="00FA2248"/>
    <w:rsid w:val="00FC5D43"/>
    <w:rsid w:val="00FC5E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B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496"/>
    <w:pPr>
      <w:ind w:left="720"/>
      <w:contextualSpacing/>
    </w:pPr>
  </w:style>
  <w:style w:type="paragraph" w:styleId="NormalWeb">
    <w:name w:val="Normal (Web)"/>
    <w:basedOn w:val="Normal"/>
    <w:uiPriority w:val="99"/>
    <w:rsid w:val="00D37F02"/>
    <w:pPr>
      <w:spacing w:before="100" w:beforeAutospacing="1" w:after="100" w:afterAutospacing="1" w:line="240" w:lineRule="auto"/>
    </w:pPr>
    <w:rPr>
      <w:rFonts w:ascii="Times New Roman" w:eastAsia="Times New Roman" w:hAnsi="Times New Roman" w:cs="Times New Roman"/>
      <w:sz w:val="24"/>
      <w:szCs w:val="24"/>
    </w:rPr>
  </w:style>
  <w:style w:type="paragraph" w:styleId="List2">
    <w:name w:val="List 2"/>
    <w:basedOn w:val="Normal"/>
    <w:rsid w:val="00D37F02"/>
    <w:pPr>
      <w:spacing w:after="0" w:line="240" w:lineRule="auto"/>
      <w:ind w:left="720" w:hanging="360"/>
    </w:pPr>
    <w:rPr>
      <w:rFonts w:ascii="Times New Roman" w:eastAsia="Times New Roman" w:hAnsi="Times New Roman" w:cs="Times New Roman"/>
      <w:sz w:val="24"/>
      <w:szCs w:val="24"/>
    </w:rPr>
  </w:style>
  <w:style w:type="table" w:styleId="TableGrid">
    <w:name w:val="Table Grid"/>
    <w:basedOn w:val="TableNormal"/>
    <w:uiPriority w:val="59"/>
    <w:rsid w:val="00340E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61DE8"/>
    <w:rPr>
      <w:rFonts w:ascii="Times New Roman" w:eastAsia="Times New Roman" w:hAnsi="Times New Roman" w:cs="Times New Roman"/>
      <w:sz w:val="24"/>
      <w:szCs w:val="24"/>
    </w:rPr>
  </w:style>
  <w:style w:type="paragraph" w:styleId="Footer">
    <w:name w:val="footer"/>
    <w:basedOn w:val="Normal"/>
    <w:link w:val="FooterChar"/>
    <w:uiPriority w:val="99"/>
    <w:rsid w:val="00161DE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1">
    <w:name w:val="Footer Char1"/>
    <w:basedOn w:val="DefaultParagraphFont"/>
    <w:link w:val="Footer"/>
    <w:uiPriority w:val="99"/>
    <w:semiHidden/>
    <w:rsid w:val="00161DE8"/>
  </w:style>
  <w:style w:type="character" w:styleId="PageNumber">
    <w:name w:val="page number"/>
    <w:basedOn w:val="DefaultParagraphFont"/>
    <w:uiPriority w:val="99"/>
    <w:rsid w:val="00161DE8"/>
    <w:rPr>
      <w:rFonts w:cs="Times New Roman"/>
    </w:rPr>
  </w:style>
  <w:style w:type="paragraph" w:styleId="Header">
    <w:name w:val="header"/>
    <w:basedOn w:val="Normal"/>
    <w:link w:val="HeaderChar"/>
    <w:uiPriority w:val="99"/>
    <w:unhideWhenUsed/>
    <w:rsid w:val="00161DE8"/>
    <w:pPr>
      <w:tabs>
        <w:tab w:val="center" w:pos="4680"/>
        <w:tab w:val="right" w:pos="9360"/>
      </w:tabs>
      <w:spacing w:after="0" w:line="240" w:lineRule="auto"/>
    </w:pPr>
    <w:rPr>
      <w:rFonts w:ascii="Arial" w:eastAsia="Arial" w:hAnsi="Arial" w:cs="Times New Roman"/>
      <w:lang w:val="vi-VN"/>
    </w:rPr>
  </w:style>
  <w:style w:type="character" w:customStyle="1" w:styleId="HeaderChar">
    <w:name w:val="Header Char"/>
    <w:basedOn w:val="DefaultParagraphFont"/>
    <w:link w:val="Header"/>
    <w:uiPriority w:val="99"/>
    <w:rsid w:val="00161DE8"/>
    <w:rPr>
      <w:rFonts w:ascii="Arial" w:eastAsia="Arial" w:hAnsi="Arial" w:cs="Times New Roman"/>
      <w:lang w:val="vi-VN"/>
    </w:rPr>
  </w:style>
</w:styles>
</file>

<file path=word/webSettings.xml><?xml version="1.0" encoding="utf-8"?>
<w:webSettings xmlns:r="http://schemas.openxmlformats.org/officeDocument/2006/relationships" xmlns:w="http://schemas.openxmlformats.org/wordprocessingml/2006/main">
  <w:divs>
    <w:div w:id="170999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7B1F00-A9A7-41E3-8799-FA3B51712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1469</Words>
  <Characters>8375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lethimailinh</dc:creator>
  <cp:lastModifiedBy>nguyenthiquynhchi</cp:lastModifiedBy>
  <cp:revision>3</cp:revision>
  <cp:lastPrinted>2024-10-15T02:01:00Z</cp:lastPrinted>
  <dcterms:created xsi:type="dcterms:W3CDTF">2024-10-29T02:39:00Z</dcterms:created>
  <dcterms:modified xsi:type="dcterms:W3CDTF">2024-10-29T02:40:00Z</dcterms:modified>
</cp:coreProperties>
</file>